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382 vom 1. Juni 1979</w:t>
      </w:r>
    </w:p>
    <w:p>
      <w:r>
        <w:t>Bundesgericht (BGE), 1979-06-01, DE</w:t>
      </w:r>
    </w:p>
    <w:p>
      <w:r>
        <w:rPr>
          <w:b/>
        </w:rPr>
        <w:t xml:space="preserve">Quelle: </w:t>
      </w:r>
      <w:r>
        <w:t>https://mcp.opencaselaw.ch/entscheid/bge_105 IB 382</w:t>
      </w:r>
    </w:p>
    <w:p>
      <w:r>
        <w:t>FR: BGE 105 IB 382 du 1 juin 1979</w:t>
      </w:r>
    </w:p>
    <w:p>
      <w:r>
        <w:t>IT: BGE 105 IB 382 del 1 giugno 1979</w:t>
      </w:r>
    </w:p>
    <w:p>
      <w:pPr>
        <w:pStyle w:val="Heading2"/>
      </w:pPr>
      <w:r>
        <w:t>Regeste</w:t>
      </w:r>
    </w:p>
    <w:p>
      <w:r>
        <w:t>Regeste Art. 105 Abs. 2 OG (wesentliche Verfahrensbestimmung). Die Rechtsmittelinstanz ist verpflichtet, dem Beschwerdeführer Gelegenheit zum Beweis zu geben, sofern sie ihre Entscheidung auf umstrittene Tatsachen stützen will, die vor der Vorinstanz noch keine Rolle gespielt haben. Dieser Grundsatz ergibt sich aus dem Anspruch auf rechtliches Gehör und gilt als wesentliche Verfahrensbestimmung im Sinne von Art. 105 Abs. 2 OG, bei deren Verletzung das Bundesgericht die Feststellung des Sachverhaltes frei überprüfen kann.</w:t>
      </w:r>
    </w:p>
    <w:p>
      <w:pPr>
        <w:pStyle w:val="Heading2"/>
      </w:pPr>
      <w:r>
        <w:t>Erwägungen</w:t>
      </w:r>
    </w:p>
    <w:p>
      <w:r>
        <w:rPr>
          <w:b/>
        </w:rPr>
        <w:t>E. 1</w:t>
      </w:r>
    </w:p>
    <w:p>
      <w:r>
        <w:t>a) Im verwaltungsgerichtlichen Beschwerdeverfahren ist das Bundesgericht grundsätzlich an den von der Vorinstanz festgestellten Sachverhalt gebunden, wenn diese Instanz ein Gericht oder eine Rekurskommission ist. Dies gilt dann nicht, wenn der Sachverhalt offensichtlich unrichtig oder unvollständig oder unter Verletzung wesentlicher Verfahrensbestimmungen ermittelt worden ist ( Art. 105 Abs. 2 OG ). Das angefochtene Urteil ist von einer Rekurskommission gefällt worden. Das Bundesgericht hat somit vom Sachverhalt auszugehen, wie er im angefochtenen Entscheid dargestellt worden war, es sei denn, die Sachverhaltsfeststellung leide unter einem Mangel, der in der zitierten Bestimmung genannt ist. b) Zu den wesentlichen Verfahrensbestimmungen, auf die Art. 105 Abs. 2 OG Bezug nimmt und deren Verletzung eine freie Überprüfung des Sachverhalts durch das Bundesgericht nach sich ziehen kann, zählt die Gewährung des rechtlichen Gehörs. Dieser Grundsatz wird verletzt, wenn die urteilende Behörde, ohne dem Beschwerdeführer Gelegenheit zum Beweis zu geben, ihre Entscheidung auf Tatsachen stützt, über die vor BGE 105 Ib 382 S. 384 der Vorinstanz nicht Beweis geführt worden war, weil sie für deren Entscheidung nicht von Bedeutung waren. Im vorliegend zu entscheidenden Fall war der Steuerkommissär bei seiner Einschätzung davon ausgegangen, der streitige Verkauf des Gemäldes habe tatsächlich stattgefunden, und K. habe dabei den von ihm behaupteten Gewinn erzielt. Davon ging auch der Einspracheentscheid der Steuerkommission aus. Steuerkommissär und Steuerkommission vertraten aber die Meinung, es habe sich dabei um einen gewerbsmässig erzielten Gewinn gehandelt, da K. in der fraglichen Zeit mit verschiedenen Objekten gehandelt habe. Mit seiner Beschwerde focht K. diese Betrachtungsweise an. Irgendwelche Beweisanträge zur Abklärung des Kaufs und Verkaufs des Gemäldes hatte er nicht zu stellen, da diese nicht streitig waren. Freilich machte der Steuerkommissär in seiner Vernehmlassung an die Rekurskommission geltend, das Geschäft mit dem Gemälde sei frei erfunden. Der von K. deklarierte Gewinn müsse daher aus einer anderen Quelle geflossen sein. Diese Vernehmlassung wurde dem Beschwerdeführer zur Kenntnisnahme zugestellt. Dieser musste aber nicht voraussehen, dass die Rekurskommission den Kauf und Verkauf des Gemäldes ebenfalls als nicht bewiesen betrachten würde. Der Beschwerdeführer hatte deshalb keinen Anlass, im Verfahren vor der Rekurskommission Beweismittel zu nennen, die geeignet waren, den Inhalt seiner Darstellung zu bestätigen. Die Rekurskommission machte den Beschwerdeführer auch nicht darauf aufmerksam, dass sie seine Darstellung bezweifelte und dass deren Richtigkeit durch Beweismittel belegt werden müsste. Durch diese Unterlassung hat die Rekurskommission den Grundsatz des rechtlichen Gehörs verletzt. Dies führt dazu, dass das Bundesgericht gemäss Art. 105 Abs. 2 OG nicht an den im angefochtenen Entscheid festgestellten Sachverhalt gebunden ist, sondern diesen frei und aufgrund eigener Beweismassnahmen überprüfen kann, sofern es nicht vorzieht, den Fall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